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7F5D56">
      <w:pPr>
        <w:widowControl/>
        <w:autoSpaceDE/>
        <w:autoSpaceDN/>
        <w:adjustRightInd/>
        <w:rPr>
          <w:b/>
          <w:sz w:val="12"/>
          <w:szCs w:val="12"/>
        </w:rPr>
      </w:pPr>
      <w:r>
        <w:rPr>
          <w:b/>
        </w:rPr>
        <w:t>Final Approved</w:t>
      </w:r>
      <w:bookmarkStart w:id="0" w:name="_GoBack"/>
      <w:bookmarkEnd w:id="0"/>
      <w:r w:rsidR="0040604D">
        <w:rPr>
          <w:b/>
        </w:rPr>
        <w:t xml:space="preserve">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tion District’s meeting room on January 14, 2016</w:t>
      </w:r>
      <w:r>
        <w:rPr>
          <w:sz w:val="22"/>
          <w:szCs w:val="22"/>
        </w:rPr>
        <w:t>.  The mee</w:t>
      </w:r>
      <w:r w:rsidR="0031583B">
        <w:rPr>
          <w:sz w:val="22"/>
          <w:szCs w:val="22"/>
        </w:rPr>
        <w:t>ting was called to order at 3:30</w:t>
      </w:r>
      <w:r>
        <w:rPr>
          <w:sz w:val="22"/>
          <w:szCs w:val="22"/>
        </w:rPr>
        <w:t xml:space="preserve"> p.m. </w:t>
      </w:r>
    </w:p>
    <w:p w:rsidR="0040604D" w:rsidRDefault="0031583B">
      <w:pPr>
        <w:widowControl/>
        <w:autoSpaceDE/>
        <w:autoSpaceDN/>
        <w:adjustRightInd/>
        <w:rPr>
          <w:sz w:val="22"/>
          <w:szCs w:val="22"/>
        </w:rPr>
      </w:pPr>
      <w:proofErr w:type="gramStart"/>
      <w:r>
        <w:rPr>
          <w:sz w:val="22"/>
          <w:szCs w:val="22"/>
        </w:rPr>
        <w:t xml:space="preserve">By </w:t>
      </w:r>
      <w:r w:rsidR="0040604D">
        <w:rPr>
          <w:sz w:val="22"/>
          <w:szCs w:val="22"/>
        </w:rPr>
        <w:t>.</w:t>
      </w:r>
      <w:proofErr w:type="gramEnd"/>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9344C">
        <w:rPr>
          <w:sz w:val="22"/>
          <w:szCs w:val="22"/>
        </w:rPr>
        <w:t>Eric Gulbransen</w:t>
      </w:r>
      <w:r w:rsidR="009D607B">
        <w:rPr>
          <w:sz w:val="22"/>
          <w:szCs w:val="22"/>
        </w:rPr>
        <w:t>, District Manager</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t>Tyler Polster, District Technician</w:t>
      </w:r>
    </w:p>
    <w:p w:rsidR="005D38CE" w:rsidRDefault="005D38CE" w:rsidP="009D607B">
      <w:pPr>
        <w:widowControl/>
        <w:autoSpaceDE/>
        <w:autoSpaceDN/>
        <w:adjustRightInd/>
        <w:rPr>
          <w:sz w:val="22"/>
          <w:szCs w:val="22"/>
        </w:rPr>
      </w:pPr>
    </w:p>
    <w:p w:rsidR="00352487" w:rsidRDefault="00352487" w:rsidP="009D607B">
      <w:pPr>
        <w:widowControl/>
        <w:autoSpaceDE/>
        <w:autoSpaceDN/>
        <w:adjustRightInd/>
        <w:rPr>
          <w:b/>
          <w:sz w:val="22"/>
          <w:szCs w:val="22"/>
          <w:u w:val="single"/>
        </w:rPr>
      </w:pPr>
      <w:r w:rsidRPr="00352487">
        <w:rPr>
          <w:b/>
          <w:sz w:val="22"/>
          <w:szCs w:val="22"/>
          <w:u w:val="single"/>
        </w:rPr>
        <w:t>Others</w:t>
      </w:r>
    </w:p>
    <w:p w:rsidR="00352487" w:rsidRDefault="00352487" w:rsidP="009D607B">
      <w:pPr>
        <w:widowControl/>
        <w:autoSpaceDE/>
        <w:autoSpaceDN/>
        <w:adjustRightInd/>
        <w:rPr>
          <w:sz w:val="22"/>
          <w:szCs w:val="22"/>
        </w:rPr>
      </w:pPr>
      <w:r>
        <w:rPr>
          <w:sz w:val="22"/>
          <w:szCs w:val="22"/>
        </w:rPr>
        <w:t>Noel Frank, NRCS District Conservationist</w:t>
      </w:r>
    </w:p>
    <w:p w:rsidR="0031583B" w:rsidRDefault="0031583B" w:rsidP="009D607B">
      <w:pPr>
        <w:widowControl/>
        <w:autoSpaceDE/>
        <w:autoSpaceDN/>
        <w:adjustRightInd/>
        <w:rPr>
          <w:sz w:val="22"/>
          <w:szCs w:val="22"/>
        </w:rPr>
      </w:pPr>
      <w:r>
        <w:rPr>
          <w:sz w:val="22"/>
          <w:szCs w:val="22"/>
        </w:rPr>
        <w:t xml:space="preserve">Cheri </w:t>
      </w:r>
      <w:proofErr w:type="spellStart"/>
      <w:r>
        <w:rPr>
          <w:sz w:val="22"/>
          <w:szCs w:val="22"/>
        </w:rPr>
        <w:t>Brummund</w:t>
      </w:r>
      <w:proofErr w:type="spellEnd"/>
      <w:r w:rsidR="00007128">
        <w:rPr>
          <w:sz w:val="22"/>
          <w:szCs w:val="22"/>
        </w:rPr>
        <w:t>, Altima, NRCS</w:t>
      </w:r>
    </w:p>
    <w:p w:rsidR="00007128" w:rsidRPr="00352487" w:rsidRDefault="00007128" w:rsidP="009D607B">
      <w:pPr>
        <w:widowControl/>
        <w:autoSpaceDE/>
        <w:autoSpaceDN/>
        <w:adjustRightInd/>
        <w:rPr>
          <w:sz w:val="22"/>
          <w:szCs w:val="22"/>
        </w:rPr>
      </w:pPr>
      <w:r>
        <w:rPr>
          <w:sz w:val="22"/>
          <w:szCs w:val="22"/>
        </w:rPr>
        <w:t>Jennifer Mocol-Johnson, BWSR</w:t>
      </w:r>
    </w:p>
    <w:p w:rsidR="00352487" w:rsidRDefault="00352487" w:rsidP="009D607B">
      <w:pPr>
        <w:widowControl/>
        <w:autoSpaceDE/>
        <w:autoSpaceDN/>
        <w:adjustRightInd/>
        <w:rPr>
          <w:sz w:val="22"/>
          <w:szCs w:val="22"/>
        </w:rPr>
      </w:pPr>
    </w:p>
    <w:p w:rsidR="0040604D" w:rsidRDefault="0040604D" w:rsidP="00A72083">
      <w:pPr>
        <w:pStyle w:val="ListParagraph"/>
        <w:rPr>
          <w:sz w:val="12"/>
          <w:szCs w:val="12"/>
        </w:rPr>
      </w:pPr>
      <w:r>
        <w:t xml:space="preserve">              </w:t>
      </w:r>
      <w:r>
        <w:tab/>
        <w:t xml:space="preserve">    </w:t>
      </w:r>
      <w:r>
        <w:tab/>
        <w:t xml:space="preserve">                          </w:t>
      </w:r>
    </w:p>
    <w:p w:rsidR="000A71F6" w:rsidRDefault="000A71F6" w:rsidP="000A71F6">
      <w:pPr>
        <w:pStyle w:val="ListParagraph"/>
        <w:widowControl/>
        <w:autoSpaceDE/>
        <w:autoSpaceDN/>
        <w:adjustRightInd/>
        <w:rPr>
          <w:sz w:val="22"/>
          <w:szCs w:val="22"/>
        </w:rPr>
      </w:pPr>
      <w:r>
        <w:rPr>
          <w:sz w:val="22"/>
          <w:szCs w:val="22"/>
        </w:rPr>
        <w:t xml:space="preserve">The agenda was reviewed and </w:t>
      </w:r>
      <w:r w:rsidR="0031583B">
        <w:rPr>
          <w:sz w:val="22"/>
          <w:szCs w:val="22"/>
        </w:rPr>
        <w:t>no changes were made.</w:t>
      </w:r>
      <w:r w:rsidR="00270F5B">
        <w:rPr>
          <w:sz w:val="22"/>
          <w:szCs w:val="22"/>
        </w:rPr>
        <w:t xml:space="preserve"> Motion was made by Stencel</w:t>
      </w:r>
      <w:r w:rsidR="00186853">
        <w:rPr>
          <w:sz w:val="22"/>
          <w:szCs w:val="22"/>
        </w:rPr>
        <w:t>, second</w:t>
      </w:r>
      <w:r w:rsidR="00270F5B">
        <w:rPr>
          <w:sz w:val="22"/>
          <w:szCs w:val="22"/>
        </w:rPr>
        <w:t>ed</w:t>
      </w:r>
      <w:r w:rsidR="00186853">
        <w:rPr>
          <w:sz w:val="22"/>
          <w:szCs w:val="22"/>
        </w:rPr>
        <w:t xml:space="preserve"> by </w:t>
      </w:r>
      <w:r w:rsidR="00270F5B">
        <w:rPr>
          <w:sz w:val="22"/>
          <w:szCs w:val="22"/>
        </w:rPr>
        <w:t>Hagen</w:t>
      </w:r>
      <w:r>
        <w:rPr>
          <w:sz w:val="22"/>
          <w:szCs w:val="22"/>
        </w:rPr>
        <w:t xml:space="preserve">, </w:t>
      </w:r>
      <w:r w:rsidR="00352487">
        <w:rPr>
          <w:sz w:val="22"/>
          <w:szCs w:val="22"/>
        </w:rPr>
        <w:t>to app</w:t>
      </w:r>
      <w:r w:rsidR="00270F5B">
        <w:rPr>
          <w:sz w:val="22"/>
          <w:szCs w:val="22"/>
        </w:rPr>
        <w:t>rove the agenda as written</w:t>
      </w:r>
      <w:r>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270F5B">
        <w:rPr>
          <w:sz w:val="22"/>
          <w:szCs w:val="22"/>
        </w:rPr>
        <w:t>Decembe</w:t>
      </w:r>
      <w:r w:rsidR="00186853">
        <w:rPr>
          <w:sz w:val="22"/>
          <w:szCs w:val="22"/>
        </w:rPr>
        <w:t>r</w:t>
      </w:r>
      <w:r w:rsidR="00B64E53">
        <w:rPr>
          <w:sz w:val="22"/>
          <w:szCs w:val="22"/>
        </w:rPr>
        <w:t xml:space="preserve"> Board Meeting were distributed to the supervisors prior to the meeting. Motion was</w:t>
      </w:r>
      <w:r w:rsidR="004B4C30">
        <w:rPr>
          <w:sz w:val="22"/>
          <w:szCs w:val="22"/>
        </w:rPr>
        <w:t xml:space="preserve"> made by Hagen</w:t>
      </w:r>
      <w:r w:rsidR="00CC235E">
        <w:rPr>
          <w:sz w:val="22"/>
          <w:szCs w:val="22"/>
        </w:rPr>
        <w:t>, second</w:t>
      </w:r>
      <w:r w:rsidR="001D38F7">
        <w:rPr>
          <w:sz w:val="22"/>
          <w:szCs w:val="22"/>
        </w:rPr>
        <w:t xml:space="preserve">ed by </w:t>
      </w:r>
      <w:r w:rsidR="00352487">
        <w:rPr>
          <w:sz w:val="22"/>
          <w:szCs w:val="22"/>
        </w:rPr>
        <w:t>Stencel</w:t>
      </w:r>
      <w:r w:rsidR="00C659BE">
        <w:rPr>
          <w:sz w:val="22"/>
          <w:szCs w:val="22"/>
        </w:rPr>
        <w:t>,</w:t>
      </w:r>
      <w:r w:rsidR="0040604D">
        <w:rPr>
          <w:sz w:val="22"/>
          <w:szCs w:val="22"/>
        </w:rPr>
        <w:t xml:space="preserve"> to app</w:t>
      </w:r>
      <w:r w:rsidR="00B64E53">
        <w:rPr>
          <w:sz w:val="22"/>
          <w:szCs w:val="22"/>
        </w:rPr>
        <w:t>rove the minutes as written</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270F5B">
        <w:rPr>
          <w:sz w:val="22"/>
          <w:szCs w:val="22"/>
        </w:rPr>
        <w:t xml:space="preserve"> treasurer’s report dated Decem</w:t>
      </w:r>
      <w:r w:rsidR="004B4C30">
        <w:rPr>
          <w:sz w:val="22"/>
          <w:szCs w:val="22"/>
        </w:rPr>
        <w:t>ber</w:t>
      </w:r>
      <w:r w:rsidR="00A57E8B">
        <w:rPr>
          <w:sz w:val="22"/>
          <w:szCs w:val="22"/>
        </w:rPr>
        <w:t xml:space="preserve"> 2015</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352487">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270F5B">
        <w:rPr>
          <w:sz w:val="22"/>
          <w:szCs w:val="22"/>
        </w:rPr>
        <w:t>Hagen</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270F5B">
        <w:rPr>
          <w:sz w:val="22"/>
          <w:szCs w:val="22"/>
        </w:rPr>
        <w:t>Stencel</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270F5B">
        <w:rPr>
          <w:sz w:val="22"/>
          <w:szCs w:val="22"/>
        </w:rPr>
        <w:t>Hagen</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352487">
        <w:rPr>
          <w:sz w:val="22"/>
          <w:szCs w:val="22"/>
        </w:rPr>
        <w:t>4,237.10</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3F0902" w:rsidRDefault="00B6448D" w:rsidP="00352487">
      <w:pPr>
        <w:widowControl/>
        <w:numPr>
          <w:ilvl w:val="0"/>
          <w:numId w:val="8"/>
        </w:numPr>
        <w:autoSpaceDE/>
        <w:autoSpaceDN/>
        <w:adjustRightInd/>
        <w:spacing w:after="240"/>
        <w:rPr>
          <w:rFonts w:eastAsia="Calibri"/>
          <w:sz w:val="22"/>
        </w:rPr>
      </w:pPr>
      <w:r>
        <w:rPr>
          <w:rFonts w:eastAsia="Calibri"/>
          <w:sz w:val="22"/>
        </w:rPr>
        <w:t xml:space="preserve">Meeting Reports – </w:t>
      </w:r>
      <w:r w:rsidR="004B4C30">
        <w:rPr>
          <w:rFonts w:eastAsia="Calibri"/>
          <w:sz w:val="22"/>
        </w:rPr>
        <w:t xml:space="preserve">Jessie Shaffer reported on </w:t>
      </w:r>
      <w:r w:rsidR="00270F5B">
        <w:rPr>
          <w:rFonts w:eastAsia="Calibri"/>
          <w:sz w:val="22"/>
        </w:rPr>
        <w:t xml:space="preserve">GBERBA meeting that she attended on January 8. It was decided to keep the existing board. They also discussed a LCCMR grant that they intend to pursue. They are looking for recommendations for communities that would be good candidates for a tree program. There was discussion about a Clean Water Fund grant for hydro-conditioning of the Le Sueur River. Jessie also reported that there was a speaker presenting information about potential new nitrogen application regulations.  </w:t>
      </w:r>
      <w:r w:rsidR="00F95017">
        <w:rPr>
          <w:rFonts w:eastAsia="Calibri"/>
          <w:sz w:val="22"/>
        </w:rPr>
        <w:t xml:space="preserve"> </w:t>
      </w:r>
    </w:p>
    <w:p w:rsidR="008C1800" w:rsidRPr="00270F5B" w:rsidRDefault="00270F5B" w:rsidP="008C1800">
      <w:pPr>
        <w:widowControl/>
        <w:numPr>
          <w:ilvl w:val="0"/>
          <w:numId w:val="8"/>
        </w:numPr>
        <w:autoSpaceDE/>
        <w:autoSpaceDN/>
        <w:adjustRightInd/>
        <w:spacing w:after="240"/>
        <w:rPr>
          <w:rFonts w:eastAsia="Calibri"/>
          <w:sz w:val="22"/>
        </w:rPr>
      </w:pPr>
      <w:r>
        <w:rPr>
          <w:rFonts w:eastAsia="Calibri"/>
          <w:sz w:val="22"/>
        </w:rPr>
        <w:t xml:space="preserve">2016 Calendar – The calendar has been distributed and there has been some feedback already from people who received it. </w:t>
      </w: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EE3FE0" w:rsidRDefault="00EE3FE0" w:rsidP="00EE3FE0">
      <w:pPr>
        <w:widowControl/>
        <w:autoSpaceDE/>
        <w:autoSpaceDN/>
        <w:adjustRightInd/>
        <w:rPr>
          <w:b/>
          <w:sz w:val="16"/>
          <w:szCs w:val="18"/>
        </w:rPr>
      </w:pPr>
      <w:r>
        <w:rPr>
          <w:b/>
          <w:sz w:val="16"/>
          <w:szCs w:val="18"/>
        </w:rPr>
        <w:t>Page 2 SWCD Minutes</w:t>
      </w:r>
    </w:p>
    <w:p w:rsidR="00EE3FE0" w:rsidRDefault="00EE3FE0" w:rsidP="00EE3FE0">
      <w:pPr>
        <w:widowControl/>
        <w:autoSpaceDE/>
        <w:autoSpaceDN/>
        <w:adjustRightInd/>
        <w:rPr>
          <w:b/>
          <w:sz w:val="16"/>
          <w:szCs w:val="18"/>
        </w:rPr>
      </w:pPr>
      <w:r>
        <w:rPr>
          <w:b/>
          <w:sz w:val="16"/>
          <w:szCs w:val="18"/>
        </w:rPr>
        <w:t>January 14, 2016</w:t>
      </w:r>
    </w:p>
    <w:p w:rsidR="00EE3FE0" w:rsidRDefault="00EE3FE0">
      <w:pPr>
        <w:widowControl/>
        <w:autoSpaceDE/>
        <w:autoSpaceDN/>
        <w:adjustRightInd/>
        <w:rPr>
          <w:b/>
          <w:sz w:val="22"/>
        </w:rPr>
      </w:pP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270F5B" w:rsidP="002A409D">
      <w:pPr>
        <w:widowControl/>
        <w:numPr>
          <w:ilvl w:val="0"/>
          <w:numId w:val="15"/>
        </w:numPr>
        <w:autoSpaceDE/>
        <w:autoSpaceDN/>
        <w:adjustRightInd/>
        <w:rPr>
          <w:rFonts w:eastAsia="Calibri"/>
          <w:sz w:val="22"/>
        </w:rPr>
      </w:pPr>
      <w:r>
        <w:rPr>
          <w:rFonts w:eastAsia="Calibri"/>
          <w:sz w:val="22"/>
        </w:rPr>
        <w:t xml:space="preserve">Committees and Appointments – Motion was made by Hagen, seconded by Stencel, to keep the committees and appointments </w:t>
      </w:r>
      <w:r w:rsidR="00EE3FE0">
        <w:rPr>
          <w:rFonts w:eastAsia="Calibri"/>
          <w:sz w:val="22"/>
        </w:rPr>
        <w:t>the same as established in 2015.</w:t>
      </w:r>
    </w:p>
    <w:p w:rsidR="00EE3FE0" w:rsidRDefault="00EE3FE0" w:rsidP="00EE3FE0">
      <w:pPr>
        <w:widowControl/>
        <w:numPr>
          <w:ilvl w:val="1"/>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EE3FE0" w:rsidRDefault="00EE3FE0" w:rsidP="00EE3FE0">
      <w:pPr>
        <w:widowControl/>
        <w:numPr>
          <w:ilvl w:val="1"/>
          <w:numId w:val="15"/>
        </w:numPr>
        <w:autoSpaceDE/>
        <w:autoSpaceDN/>
        <w:adjustRightInd/>
        <w:rPr>
          <w:rFonts w:eastAsia="Calibri"/>
          <w:sz w:val="22"/>
        </w:rPr>
      </w:pPr>
      <w:r>
        <w:rPr>
          <w:rFonts w:eastAsia="Calibri"/>
          <w:sz w:val="22"/>
        </w:rPr>
        <w:t>Personnel – Cords &amp; Hildebrandt</w:t>
      </w:r>
    </w:p>
    <w:p w:rsidR="00EE3FE0" w:rsidRDefault="00EE3FE0" w:rsidP="00EE3FE0">
      <w:pPr>
        <w:widowControl/>
        <w:numPr>
          <w:ilvl w:val="1"/>
          <w:numId w:val="15"/>
        </w:numPr>
        <w:autoSpaceDE/>
        <w:autoSpaceDN/>
        <w:adjustRightInd/>
        <w:rPr>
          <w:rFonts w:eastAsia="Calibri"/>
          <w:sz w:val="22"/>
        </w:rPr>
      </w:pPr>
      <w:r>
        <w:rPr>
          <w:rFonts w:eastAsia="Calibri"/>
          <w:sz w:val="22"/>
        </w:rPr>
        <w:t>Budget &amp; Planning – Stencel &amp; Cords</w:t>
      </w:r>
    </w:p>
    <w:p w:rsidR="00405824" w:rsidRDefault="00EE3FE0" w:rsidP="00EE3FE0">
      <w:pPr>
        <w:widowControl/>
        <w:numPr>
          <w:ilvl w:val="1"/>
          <w:numId w:val="15"/>
        </w:numPr>
        <w:autoSpaceDE/>
        <w:autoSpaceDN/>
        <w:adjustRightInd/>
        <w:rPr>
          <w:rFonts w:eastAsia="Calibri"/>
          <w:sz w:val="22"/>
        </w:rPr>
      </w:pPr>
      <w:r>
        <w:rPr>
          <w:rFonts w:eastAsia="Calibri"/>
          <w:sz w:val="22"/>
        </w:rPr>
        <w:t>County Water Plan - Stencel</w:t>
      </w:r>
    </w:p>
    <w:p w:rsidR="00EE3FE0" w:rsidRDefault="00EE3FE0" w:rsidP="00EE3FE0">
      <w:pPr>
        <w:widowControl/>
        <w:numPr>
          <w:ilvl w:val="1"/>
          <w:numId w:val="15"/>
        </w:numPr>
        <w:autoSpaceDE/>
        <w:autoSpaceDN/>
        <w:adjustRightInd/>
        <w:rPr>
          <w:rFonts w:eastAsia="Calibri"/>
          <w:sz w:val="22"/>
        </w:rPr>
      </w:pPr>
      <w:r>
        <w:rPr>
          <w:rFonts w:eastAsia="Calibri"/>
          <w:sz w:val="22"/>
        </w:rPr>
        <w:t>GBERBA – Shaffer</w:t>
      </w:r>
    </w:p>
    <w:p w:rsidR="00EE3FE0" w:rsidRDefault="00EE3FE0" w:rsidP="00EE3FE0">
      <w:pPr>
        <w:widowControl/>
        <w:numPr>
          <w:ilvl w:val="1"/>
          <w:numId w:val="15"/>
        </w:numPr>
        <w:autoSpaceDE/>
        <w:autoSpaceDN/>
        <w:adjustRightInd/>
        <w:rPr>
          <w:rFonts w:eastAsia="Calibri"/>
          <w:sz w:val="22"/>
        </w:rPr>
      </w:pPr>
      <w:r>
        <w:rPr>
          <w:rFonts w:eastAsia="Calibri"/>
          <w:sz w:val="22"/>
        </w:rPr>
        <w:t>South Central TSA – Cords</w:t>
      </w:r>
    </w:p>
    <w:p w:rsidR="00EE3FE0" w:rsidRDefault="00EE3FE0" w:rsidP="00EE3FE0">
      <w:pPr>
        <w:widowControl/>
        <w:numPr>
          <w:ilvl w:val="1"/>
          <w:numId w:val="15"/>
        </w:numPr>
        <w:autoSpaceDE/>
        <w:autoSpaceDN/>
        <w:adjustRightInd/>
        <w:rPr>
          <w:rFonts w:eastAsia="Calibri"/>
          <w:sz w:val="22"/>
        </w:rPr>
      </w:pPr>
      <w:r>
        <w:rPr>
          <w:rFonts w:eastAsia="Calibri"/>
          <w:sz w:val="22"/>
        </w:rPr>
        <w:t xml:space="preserve">Waseca Lakes </w:t>
      </w:r>
      <w:proofErr w:type="spellStart"/>
      <w:r>
        <w:rPr>
          <w:rFonts w:eastAsia="Calibri"/>
          <w:sz w:val="22"/>
        </w:rPr>
        <w:t>Assoc</w:t>
      </w:r>
      <w:proofErr w:type="spellEnd"/>
      <w:r>
        <w:rPr>
          <w:rFonts w:eastAsia="Calibri"/>
          <w:sz w:val="22"/>
        </w:rPr>
        <w:t xml:space="preserve"> – Hildebrandt</w:t>
      </w:r>
    </w:p>
    <w:p w:rsidR="00EE3FE0" w:rsidRDefault="00EE3FE0" w:rsidP="00EE3FE0">
      <w:pPr>
        <w:widowControl/>
        <w:numPr>
          <w:ilvl w:val="1"/>
          <w:numId w:val="15"/>
        </w:numPr>
        <w:autoSpaceDE/>
        <w:autoSpaceDN/>
        <w:adjustRightInd/>
        <w:rPr>
          <w:rFonts w:eastAsia="Calibri"/>
          <w:sz w:val="22"/>
        </w:rPr>
      </w:pPr>
      <w:r>
        <w:rPr>
          <w:rFonts w:eastAsia="Calibri"/>
          <w:sz w:val="22"/>
        </w:rPr>
        <w:t xml:space="preserve">Lake Elysian </w:t>
      </w:r>
      <w:proofErr w:type="spellStart"/>
      <w:r>
        <w:rPr>
          <w:rFonts w:eastAsia="Calibri"/>
          <w:sz w:val="22"/>
        </w:rPr>
        <w:t>Assoc</w:t>
      </w:r>
      <w:proofErr w:type="spellEnd"/>
      <w:r>
        <w:rPr>
          <w:rFonts w:eastAsia="Calibri"/>
          <w:sz w:val="22"/>
        </w:rPr>
        <w:t xml:space="preserve"> – Cords</w:t>
      </w:r>
    </w:p>
    <w:p w:rsidR="00EE3FE0" w:rsidRDefault="00EE3FE0" w:rsidP="00EE3FE0">
      <w:pPr>
        <w:widowControl/>
        <w:numPr>
          <w:ilvl w:val="1"/>
          <w:numId w:val="15"/>
        </w:numPr>
        <w:autoSpaceDE/>
        <w:autoSpaceDN/>
        <w:adjustRightInd/>
        <w:rPr>
          <w:rFonts w:eastAsia="Calibri"/>
          <w:sz w:val="22"/>
        </w:rPr>
      </w:pPr>
      <w:r>
        <w:rPr>
          <w:rFonts w:eastAsia="Calibri"/>
          <w:sz w:val="22"/>
        </w:rPr>
        <w:t>Commissioner Contact – Stencel</w:t>
      </w:r>
    </w:p>
    <w:p w:rsidR="00EE3FE0" w:rsidRDefault="00EE3FE0" w:rsidP="00EE3FE0">
      <w:pPr>
        <w:widowControl/>
        <w:numPr>
          <w:ilvl w:val="1"/>
          <w:numId w:val="15"/>
        </w:numPr>
        <w:autoSpaceDE/>
        <w:autoSpaceDN/>
        <w:adjustRightInd/>
        <w:rPr>
          <w:rFonts w:eastAsia="Calibri"/>
          <w:sz w:val="22"/>
        </w:rPr>
      </w:pPr>
      <w:r>
        <w:rPr>
          <w:rFonts w:eastAsia="Calibri"/>
          <w:sz w:val="22"/>
        </w:rPr>
        <w:t>CRWP – Hagen</w:t>
      </w:r>
    </w:p>
    <w:p w:rsidR="00EE3FE0" w:rsidRDefault="00EE3FE0" w:rsidP="00EE3FE0">
      <w:pPr>
        <w:widowControl/>
        <w:numPr>
          <w:ilvl w:val="1"/>
          <w:numId w:val="15"/>
        </w:numPr>
        <w:autoSpaceDE/>
        <w:autoSpaceDN/>
        <w:adjustRightInd/>
        <w:rPr>
          <w:rFonts w:eastAsia="Calibri"/>
          <w:sz w:val="22"/>
        </w:rPr>
      </w:pPr>
      <w:r>
        <w:rPr>
          <w:rFonts w:eastAsia="Calibri"/>
          <w:sz w:val="22"/>
        </w:rPr>
        <w:t>Le Sueur River Watershed Net - Shafer</w:t>
      </w:r>
    </w:p>
    <w:p w:rsidR="00EE3FE0" w:rsidRDefault="00EE3FE0" w:rsidP="002A409D">
      <w:pPr>
        <w:widowControl/>
        <w:autoSpaceDE/>
        <w:autoSpaceDN/>
        <w:adjustRightInd/>
        <w:ind w:left="720"/>
        <w:rPr>
          <w:rFonts w:eastAsia="Calibri"/>
          <w:sz w:val="22"/>
        </w:rPr>
        <w:sectPr w:rsidR="00EE3FE0" w:rsidSect="00EE3FE0">
          <w:type w:val="continuous"/>
          <w:pgSz w:w="12240" w:h="15840"/>
          <w:pgMar w:top="340" w:right="640" w:bottom="280" w:left="1080" w:header="720" w:footer="720" w:gutter="0"/>
          <w:cols w:num="2" w:space="720"/>
          <w:noEndnote/>
        </w:sectPr>
      </w:pPr>
    </w:p>
    <w:p w:rsidR="002A409D" w:rsidRDefault="002A409D" w:rsidP="002A409D">
      <w:pPr>
        <w:widowControl/>
        <w:autoSpaceDE/>
        <w:autoSpaceDN/>
        <w:adjustRightInd/>
        <w:ind w:left="720"/>
        <w:rPr>
          <w:rFonts w:eastAsia="Calibri"/>
          <w:sz w:val="22"/>
        </w:rPr>
      </w:pPr>
    </w:p>
    <w:p w:rsidR="00270F5B" w:rsidRDefault="00270F5B" w:rsidP="002A409D">
      <w:pPr>
        <w:widowControl/>
        <w:autoSpaceDE/>
        <w:autoSpaceDN/>
        <w:adjustRightInd/>
        <w:ind w:left="720"/>
        <w:rPr>
          <w:rFonts w:eastAsia="Calibri"/>
          <w:sz w:val="22"/>
        </w:rPr>
      </w:pP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984C4B" w:rsidRDefault="00EE3FE0" w:rsidP="00EE3FE0">
      <w:pPr>
        <w:widowControl/>
        <w:numPr>
          <w:ilvl w:val="0"/>
          <w:numId w:val="15"/>
        </w:numPr>
        <w:autoSpaceDE/>
        <w:autoSpaceDN/>
        <w:adjustRightInd/>
        <w:rPr>
          <w:rFonts w:eastAsia="Calibri"/>
          <w:sz w:val="22"/>
        </w:rPr>
      </w:pPr>
      <w:r>
        <w:rPr>
          <w:rFonts w:eastAsia="Calibri"/>
          <w:sz w:val="22"/>
        </w:rPr>
        <w:t>Annual Approvals</w:t>
      </w:r>
    </w:p>
    <w:p w:rsidR="00EE3FE0" w:rsidRDefault="00EE3FE0" w:rsidP="00EE3FE0">
      <w:pPr>
        <w:widowControl/>
        <w:numPr>
          <w:ilvl w:val="1"/>
          <w:numId w:val="15"/>
        </w:numPr>
        <w:autoSpaceDE/>
        <w:autoSpaceDN/>
        <w:adjustRightInd/>
        <w:rPr>
          <w:rFonts w:eastAsia="Calibri"/>
          <w:sz w:val="22"/>
        </w:rPr>
      </w:pPr>
      <w:r>
        <w:rPr>
          <w:rFonts w:eastAsia="Calibri"/>
          <w:sz w:val="22"/>
        </w:rPr>
        <w:t>Board Meeting Date &amp; Time – Tabled until Feb</w:t>
      </w:r>
      <w:r w:rsidR="009E141F">
        <w:rPr>
          <w:rFonts w:eastAsia="Calibri"/>
          <w:sz w:val="22"/>
        </w:rPr>
        <w:t xml:space="preserve"> Board</w:t>
      </w:r>
      <w:r>
        <w:rPr>
          <w:rFonts w:eastAsia="Calibri"/>
          <w:sz w:val="22"/>
        </w:rPr>
        <w:t xml:space="preserve"> Meeting</w:t>
      </w:r>
    </w:p>
    <w:p w:rsidR="00EE3FE0" w:rsidRDefault="00EE3FE0" w:rsidP="00EE3FE0">
      <w:pPr>
        <w:widowControl/>
        <w:numPr>
          <w:ilvl w:val="1"/>
          <w:numId w:val="15"/>
        </w:numPr>
        <w:autoSpaceDE/>
        <w:autoSpaceDN/>
        <w:adjustRightInd/>
        <w:rPr>
          <w:rFonts w:eastAsia="Calibri"/>
          <w:sz w:val="22"/>
        </w:rPr>
      </w:pPr>
      <w:r>
        <w:rPr>
          <w:rFonts w:eastAsia="Calibri"/>
          <w:sz w:val="22"/>
        </w:rPr>
        <w:t>Supervisor Compensation Rate – Motion was made by Hagen, seconded by Stencel, to keep this the same as 2015. Motion carried by voice vote.</w:t>
      </w:r>
    </w:p>
    <w:p w:rsidR="00EE3FE0" w:rsidRDefault="009E141F" w:rsidP="00EE3FE0">
      <w:pPr>
        <w:widowControl/>
        <w:numPr>
          <w:ilvl w:val="1"/>
          <w:numId w:val="15"/>
        </w:numPr>
        <w:autoSpaceDE/>
        <w:autoSpaceDN/>
        <w:adjustRightInd/>
        <w:rPr>
          <w:rFonts w:eastAsia="Calibri"/>
          <w:sz w:val="22"/>
        </w:rPr>
      </w:pPr>
      <w:r>
        <w:rPr>
          <w:rFonts w:eastAsia="Calibri"/>
          <w:sz w:val="22"/>
        </w:rPr>
        <w:t>Official Financial Institution – Tabled until Feb Board Meeting</w:t>
      </w:r>
    </w:p>
    <w:p w:rsidR="009E141F" w:rsidRPr="00984C4B" w:rsidRDefault="009E141F" w:rsidP="00EE3FE0">
      <w:pPr>
        <w:widowControl/>
        <w:numPr>
          <w:ilvl w:val="1"/>
          <w:numId w:val="15"/>
        </w:numPr>
        <w:autoSpaceDE/>
        <w:autoSpaceDN/>
        <w:adjustRightInd/>
        <w:rPr>
          <w:rFonts w:eastAsia="Calibri"/>
          <w:sz w:val="22"/>
        </w:rPr>
      </w:pPr>
      <w:r>
        <w:rPr>
          <w:rFonts w:eastAsia="Calibri"/>
          <w:sz w:val="22"/>
        </w:rPr>
        <w:t xml:space="preserve">Official Newspaper and Radio Station – Motion was made by Stencel, seconded by Hagen, to keep these the same as 2015. </w:t>
      </w:r>
    </w:p>
    <w:p w:rsidR="00270F5B" w:rsidRDefault="00270F5B" w:rsidP="00270F5B">
      <w:pPr>
        <w:widowControl/>
        <w:autoSpaceDE/>
        <w:autoSpaceDN/>
        <w:adjustRightInd/>
        <w:ind w:left="720"/>
        <w:rPr>
          <w:rFonts w:eastAsia="Calibri"/>
          <w:sz w:val="22"/>
        </w:rPr>
      </w:pPr>
    </w:p>
    <w:p w:rsidR="00EE3FE0" w:rsidRDefault="00EE3FE0" w:rsidP="004711F9">
      <w:pPr>
        <w:widowControl/>
        <w:numPr>
          <w:ilvl w:val="0"/>
          <w:numId w:val="15"/>
        </w:numPr>
        <w:autoSpaceDE/>
        <w:autoSpaceDN/>
        <w:adjustRightInd/>
        <w:rPr>
          <w:rFonts w:eastAsia="Calibri"/>
          <w:sz w:val="22"/>
        </w:rPr>
        <w:sectPr w:rsidR="00EE3FE0" w:rsidSect="00EE3FE0">
          <w:type w:val="continuous"/>
          <w:pgSz w:w="12240" w:h="15840"/>
          <w:pgMar w:top="340" w:right="640" w:bottom="280" w:left="1080" w:header="720" w:footer="720" w:gutter="0"/>
          <w:cols w:num="2" w:space="720"/>
          <w:noEndnote/>
        </w:sectPr>
      </w:pPr>
    </w:p>
    <w:p w:rsidR="00EE3FE0" w:rsidRDefault="00EE3FE0" w:rsidP="00EE3FE0">
      <w:pPr>
        <w:widowControl/>
        <w:autoSpaceDE/>
        <w:autoSpaceDN/>
        <w:adjustRightInd/>
        <w:ind w:left="720"/>
        <w:rPr>
          <w:rFonts w:eastAsia="Calibri"/>
          <w:sz w:val="22"/>
        </w:rPr>
      </w:pPr>
    </w:p>
    <w:p w:rsidR="004711F9" w:rsidRDefault="009E141F" w:rsidP="009E141F">
      <w:pPr>
        <w:widowControl/>
        <w:numPr>
          <w:ilvl w:val="0"/>
          <w:numId w:val="15"/>
        </w:numPr>
        <w:autoSpaceDE/>
        <w:autoSpaceDN/>
        <w:adjustRightInd/>
        <w:rPr>
          <w:rFonts w:eastAsia="Calibri"/>
          <w:sz w:val="22"/>
        </w:rPr>
      </w:pPr>
      <w:r>
        <w:rPr>
          <w:rFonts w:eastAsia="Calibri"/>
          <w:sz w:val="22"/>
        </w:rPr>
        <w:t>Resolution to adopt the County Water Plan – After discussion it was decided to table this topic until the February meeting to give all of the Supervisors the chance to review the Water Plan.</w:t>
      </w:r>
    </w:p>
    <w:p w:rsidR="009E141F" w:rsidRPr="004711F9" w:rsidRDefault="009E141F" w:rsidP="009E141F">
      <w:pPr>
        <w:widowControl/>
        <w:autoSpaceDE/>
        <w:autoSpaceDN/>
        <w:adjustRightInd/>
        <w:ind w:left="720"/>
        <w:rPr>
          <w:rFonts w:eastAsia="Calibri"/>
          <w:sz w:val="22"/>
        </w:rPr>
      </w:pPr>
    </w:p>
    <w:p w:rsidR="00BA359D" w:rsidRDefault="009E141F" w:rsidP="00EC25C0">
      <w:pPr>
        <w:pStyle w:val="ListParagraph"/>
        <w:widowControl/>
        <w:numPr>
          <w:ilvl w:val="0"/>
          <w:numId w:val="15"/>
        </w:numPr>
        <w:autoSpaceDE/>
        <w:autoSpaceDN/>
        <w:adjustRightInd/>
        <w:contextualSpacing/>
      </w:pPr>
      <w:r>
        <w:rPr>
          <w:rFonts w:eastAsia="Calibri"/>
          <w:sz w:val="22"/>
        </w:rPr>
        <w:t xml:space="preserve">Request payment from LCCMR grant for completed projects </w:t>
      </w:r>
      <w:r w:rsidR="002F0C15">
        <w:rPr>
          <w:rFonts w:eastAsia="Calibri"/>
          <w:sz w:val="22"/>
        </w:rPr>
        <w:t>–</w:t>
      </w:r>
      <w:r>
        <w:rPr>
          <w:rFonts w:eastAsia="Calibri"/>
          <w:sz w:val="22"/>
        </w:rPr>
        <w:t xml:space="preserve"> </w:t>
      </w:r>
      <w:r w:rsidR="002F0C15">
        <w:rPr>
          <w:rFonts w:eastAsia="Calibri"/>
          <w:sz w:val="22"/>
        </w:rPr>
        <w:t xml:space="preserve">Gulbransen reported that the funds from the LCCMR grant were available. Motion was made by Hagen, seconded by Stencel, to send the request. Motion carried by voice vote. </w:t>
      </w:r>
    </w:p>
    <w:p w:rsidR="00670D25" w:rsidRPr="00670D25" w:rsidRDefault="00670D25" w:rsidP="00670D25">
      <w:pPr>
        <w:pStyle w:val="ListParagraph"/>
        <w:ind w:left="720"/>
      </w:pPr>
    </w:p>
    <w:p w:rsidR="004E4B14" w:rsidRDefault="002F0C15" w:rsidP="00044950">
      <w:pPr>
        <w:pStyle w:val="ListParagraph"/>
        <w:widowControl/>
        <w:numPr>
          <w:ilvl w:val="0"/>
          <w:numId w:val="15"/>
        </w:numPr>
        <w:autoSpaceDE/>
        <w:autoSpaceDN/>
        <w:adjustRightInd/>
        <w:contextualSpacing/>
      </w:pPr>
      <w:r>
        <w:t xml:space="preserve">Soil Health Team Meeting – Owatonna, January 19 – Gulbransen presented the information about this meeting so that anyone interested could attend. </w:t>
      </w:r>
    </w:p>
    <w:p w:rsidR="002F0C15" w:rsidRDefault="002F0C15" w:rsidP="002F0C15">
      <w:pPr>
        <w:widowControl/>
        <w:autoSpaceDE/>
        <w:autoSpaceDN/>
        <w:adjustRightInd/>
        <w:contextualSpacing/>
      </w:pPr>
    </w:p>
    <w:p w:rsidR="002F0C15" w:rsidRDefault="002F0C15" w:rsidP="002F0C15">
      <w:pPr>
        <w:pStyle w:val="ListParagraph"/>
        <w:widowControl/>
        <w:numPr>
          <w:ilvl w:val="0"/>
          <w:numId w:val="15"/>
        </w:numPr>
        <w:autoSpaceDE/>
        <w:autoSpaceDN/>
        <w:adjustRightInd/>
        <w:contextualSpacing/>
      </w:pPr>
      <w:r>
        <w:t xml:space="preserve">WRC Support Letter – Gulbransen presented a letter of support for a WRC project that is currently facing challenges due to </w:t>
      </w:r>
      <w:proofErr w:type="spellStart"/>
      <w:proofErr w:type="gramStart"/>
      <w:r>
        <w:t>a</w:t>
      </w:r>
      <w:proofErr w:type="spellEnd"/>
      <w:proofErr w:type="gramEnd"/>
      <w:r>
        <w:t xml:space="preserve"> anonymous citizen complaint. The board agreed to support the project.</w:t>
      </w:r>
    </w:p>
    <w:p w:rsidR="00A441CB" w:rsidRPr="00196690" w:rsidRDefault="002F0C15" w:rsidP="002F0C15">
      <w:pPr>
        <w:widowControl/>
        <w:autoSpaceDE/>
        <w:autoSpaceDN/>
        <w:adjustRightInd/>
        <w:contextualSpacing/>
      </w:pPr>
      <w:r>
        <w:t xml:space="preserve">  </w:t>
      </w:r>
    </w:p>
    <w:p w:rsidR="000444DE" w:rsidRDefault="0040604D">
      <w:pPr>
        <w:rPr>
          <w:sz w:val="22"/>
        </w:rPr>
      </w:pPr>
      <w:r>
        <w:rPr>
          <w:sz w:val="22"/>
        </w:rPr>
        <w:t xml:space="preserve">Agency Reports: </w:t>
      </w:r>
    </w:p>
    <w:p w:rsidR="0040604D" w:rsidRDefault="008C1800">
      <w:pPr>
        <w:pStyle w:val="BalloonText"/>
        <w:rPr>
          <w:rFonts w:ascii="Times New Roman" w:hAnsi="Times New Roman" w:cs="Times New Roman"/>
          <w:sz w:val="22"/>
          <w:szCs w:val="22"/>
        </w:rPr>
      </w:pPr>
      <w:r>
        <w:rPr>
          <w:rFonts w:ascii="Times New Roman" w:hAnsi="Times New Roman" w:cs="Times New Roman"/>
          <w:sz w:val="22"/>
          <w:szCs w:val="22"/>
        </w:rPr>
        <w:t xml:space="preserve">Noel Frank reported for NRCS. He </w:t>
      </w:r>
      <w:r w:rsidR="002F0C15">
        <w:rPr>
          <w:rFonts w:ascii="Times New Roman" w:hAnsi="Times New Roman" w:cs="Times New Roman"/>
          <w:sz w:val="22"/>
          <w:szCs w:val="22"/>
        </w:rPr>
        <w:t xml:space="preserve">introduced the new </w:t>
      </w:r>
      <w:proofErr w:type="spellStart"/>
      <w:r w:rsidR="002F0C15">
        <w:rPr>
          <w:rFonts w:ascii="Times New Roman" w:hAnsi="Times New Roman" w:cs="Times New Roman"/>
          <w:sz w:val="22"/>
          <w:szCs w:val="22"/>
        </w:rPr>
        <w:t>new</w:t>
      </w:r>
      <w:proofErr w:type="spellEnd"/>
      <w:r w:rsidR="002F0C15">
        <w:rPr>
          <w:rFonts w:ascii="Times New Roman" w:hAnsi="Times New Roman" w:cs="Times New Roman"/>
          <w:sz w:val="22"/>
          <w:szCs w:val="22"/>
        </w:rPr>
        <w:t xml:space="preserve"> Altima employee, Cheri </w:t>
      </w:r>
      <w:proofErr w:type="spellStart"/>
      <w:r w:rsidR="002F0C15">
        <w:rPr>
          <w:rFonts w:ascii="Times New Roman" w:hAnsi="Times New Roman" w:cs="Times New Roman"/>
          <w:sz w:val="22"/>
          <w:szCs w:val="22"/>
        </w:rPr>
        <w:t>Brummund</w:t>
      </w:r>
      <w:proofErr w:type="spellEnd"/>
      <w:r w:rsidR="00007128">
        <w:rPr>
          <w:rFonts w:ascii="Times New Roman" w:hAnsi="Times New Roman" w:cs="Times New Roman"/>
          <w:sz w:val="22"/>
          <w:szCs w:val="22"/>
        </w:rPr>
        <w:t>, who will be working in the Waseca office</w:t>
      </w:r>
      <w:r w:rsidR="002F0C15">
        <w:rPr>
          <w:rFonts w:ascii="Times New Roman" w:hAnsi="Times New Roman" w:cs="Times New Roman"/>
          <w:sz w:val="22"/>
          <w:szCs w:val="22"/>
        </w:rPr>
        <w:t xml:space="preserve">. </w:t>
      </w:r>
      <w:r w:rsidR="00007128">
        <w:rPr>
          <w:rFonts w:ascii="Times New Roman" w:hAnsi="Times New Roman" w:cs="Times New Roman"/>
          <w:sz w:val="22"/>
          <w:szCs w:val="22"/>
        </w:rPr>
        <w:t>He reported that CSP is done for the year. There has been lots of interest in enrolling for CRP, and there is 1 EQIP application for cover crops.</w:t>
      </w:r>
    </w:p>
    <w:p w:rsidR="00007128" w:rsidRDefault="00007128">
      <w:pPr>
        <w:pStyle w:val="BalloonText"/>
        <w:rPr>
          <w:rFonts w:ascii="Times New Roman" w:hAnsi="Times New Roman" w:cs="Times New Roman"/>
          <w:sz w:val="22"/>
          <w:szCs w:val="22"/>
        </w:rPr>
      </w:pPr>
    </w:p>
    <w:p w:rsidR="00007128" w:rsidRDefault="00007128">
      <w:pPr>
        <w:pStyle w:val="BalloonText"/>
        <w:rPr>
          <w:rFonts w:ascii="Times New Roman" w:hAnsi="Times New Roman" w:cs="Times New Roman"/>
          <w:sz w:val="22"/>
          <w:szCs w:val="22"/>
        </w:rPr>
      </w:pPr>
      <w:r>
        <w:rPr>
          <w:rFonts w:ascii="Times New Roman" w:hAnsi="Times New Roman" w:cs="Times New Roman"/>
          <w:sz w:val="22"/>
          <w:szCs w:val="22"/>
        </w:rPr>
        <w:t xml:space="preserve">Jennifer Mocol-Johnson from BWSR spoke about the Local Capacity building grant. She reiterated that these funds are to be used for doing something new within the District. There was discussion about good uses for the money such as hiring new staff, buying needed equipment and establishing new practices, such as local cost share program. </w:t>
      </w:r>
    </w:p>
    <w:p w:rsidR="008C1800" w:rsidRDefault="008C1800"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50541E" w:rsidRDefault="0050541E" w:rsidP="008C1800">
      <w:pPr>
        <w:widowControl/>
        <w:autoSpaceDE/>
        <w:autoSpaceDN/>
        <w:adjustRightInd/>
        <w:rPr>
          <w:b/>
          <w:sz w:val="16"/>
          <w:szCs w:val="18"/>
        </w:rPr>
      </w:pPr>
    </w:p>
    <w:p w:rsidR="008C1800" w:rsidRDefault="008C1800" w:rsidP="008C1800">
      <w:pPr>
        <w:widowControl/>
        <w:autoSpaceDE/>
        <w:autoSpaceDN/>
        <w:adjustRightInd/>
        <w:rPr>
          <w:b/>
          <w:sz w:val="16"/>
          <w:szCs w:val="18"/>
        </w:rPr>
      </w:pPr>
    </w:p>
    <w:p w:rsidR="008C1800" w:rsidRDefault="008C1800" w:rsidP="008C1800">
      <w:pPr>
        <w:widowControl/>
        <w:autoSpaceDE/>
        <w:autoSpaceDN/>
        <w:adjustRightInd/>
        <w:rPr>
          <w:b/>
          <w:sz w:val="16"/>
          <w:szCs w:val="18"/>
        </w:rPr>
      </w:pPr>
    </w:p>
    <w:p w:rsidR="008C1800" w:rsidRDefault="008C1800" w:rsidP="008C1800">
      <w:pPr>
        <w:widowControl/>
        <w:autoSpaceDE/>
        <w:autoSpaceDN/>
        <w:adjustRightInd/>
        <w:rPr>
          <w:b/>
          <w:sz w:val="16"/>
          <w:szCs w:val="18"/>
        </w:rPr>
      </w:pPr>
      <w:r>
        <w:rPr>
          <w:b/>
          <w:sz w:val="16"/>
          <w:szCs w:val="18"/>
        </w:rPr>
        <w:t>Page 3 SWCD Minutes</w:t>
      </w:r>
    </w:p>
    <w:p w:rsidR="008C1800" w:rsidRDefault="0050541E" w:rsidP="008C1800">
      <w:pPr>
        <w:widowControl/>
        <w:autoSpaceDE/>
        <w:autoSpaceDN/>
        <w:adjustRightInd/>
        <w:rPr>
          <w:b/>
          <w:sz w:val="16"/>
          <w:szCs w:val="18"/>
        </w:rPr>
      </w:pPr>
      <w:r>
        <w:rPr>
          <w:b/>
          <w:sz w:val="16"/>
          <w:szCs w:val="18"/>
        </w:rPr>
        <w:t>January 14, 2016</w:t>
      </w:r>
    </w:p>
    <w:p w:rsidR="008C1800" w:rsidRDefault="008C1800">
      <w:pPr>
        <w:rPr>
          <w:sz w:val="22"/>
        </w:rPr>
      </w:pPr>
    </w:p>
    <w:p w:rsidR="0040604D" w:rsidRDefault="0040604D">
      <w:pPr>
        <w:rPr>
          <w:sz w:val="22"/>
        </w:rPr>
      </w:pPr>
      <w:r>
        <w:rPr>
          <w:sz w:val="22"/>
        </w:rPr>
        <w:t xml:space="preserve">Staff Reports:  </w:t>
      </w:r>
    </w:p>
    <w:p w:rsidR="00D27B1C" w:rsidRDefault="00D27B1C" w:rsidP="000444DE">
      <w:pPr>
        <w:rPr>
          <w:sz w:val="22"/>
        </w:rPr>
      </w:pPr>
      <w:r>
        <w:rPr>
          <w:sz w:val="22"/>
        </w:rPr>
        <w:t>Pols</w:t>
      </w:r>
      <w:r w:rsidR="00FA34D7">
        <w:rPr>
          <w:sz w:val="22"/>
        </w:rPr>
        <w:t xml:space="preserve">ter stated that he attended meetings for both Bull Run and the New Richland projects. They are planning a community forum in New Richland in February to hopefully gain landowner interest in the project. Tyler also reported that there have been a few tree sales already. </w:t>
      </w:r>
    </w:p>
    <w:p w:rsidR="00A441CB" w:rsidRDefault="00D27B1C" w:rsidP="000444DE">
      <w:pPr>
        <w:rPr>
          <w:sz w:val="22"/>
        </w:rPr>
      </w:pPr>
      <w:r>
        <w:rPr>
          <w:sz w:val="22"/>
        </w:rPr>
        <w:t xml:space="preserve"> </w:t>
      </w:r>
    </w:p>
    <w:p w:rsidR="00D27B1C" w:rsidRDefault="00E27B62" w:rsidP="000444DE">
      <w:pPr>
        <w:rPr>
          <w:sz w:val="22"/>
        </w:rPr>
      </w:pPr>
      <w:r>
        <w:rPr>
          <w:sz w:val="22"/>
        </w:rPr>
        <w:t>Eric Gulbransen</w:t>
      </w:r>
      <w:r w:rsidR="00CD6152">
        <w:rPr>
          <w:sz w:val="22"/>
        </w:rPr>
        <w:t xml:space="preserve"> reported that </w:t>
      </w:r>
      <w:r w:rsidR="00FA34D7">
        <w:rPr>
          <w:sz w:val="22"/>
        </w:rPr>
        <w:t xml:space="preserve">there is a webinar on the Buffer law that he will be attending on January 20. He also has been looking at local windbreaks with the landowners. </w:t>
      </w:r>
    </w:p>
    <w:p w:rsidR="00D27B1C" w:rsidRDefault="00D27B1C" w:rsidP="000444DE">
      <w:pPr>
        <w:rPr>
          <w:sz w:val="22"/>
        </w:rPr>
      </w:pPr>
    </w:p>
    <w:p w:rsidR="0072684D" w:rsidRDefault="00FA34D7" w:rsidP="000444DE">
      <w:pPr>
        <w:rPr>
          <w:sz w:val="22"/>
        </w:rPr>
      </w:pPr>
      <w:r>
        <w:rPr>
          <w:sz w:val="22"/>
        </w:rPr>
        <w:t xml:space="preserve">Justman reported that the majority of her time has been spent on year end wrap up. She will be completing the </w:t>
      </w:r>
      <w:proofErr w:type="spellStart"/>
      <w:r>
        <w:rPr>
          <w:sz w:val="22"/>
        </w:rPr>
        <w:t>eLink</w:t>
      </w:r>
      <w:proofErr w:type="spellEnd"/>
      <w:r>
        <w:rPr>
          <w:sz w:val="22"/>
        </w:rPr>
        <w:t xml:space="preserve"> grant reporting in the upcoming weeks.</w:t>
      </w:r>
    </w:p>
    <w:p w:rsidR="000444DE" w:rsidRPr="000444DE" w:rsidRDefault="000444DE" w:rsidP="000444DE">
      <w:pPr>
        <w:rPr>
          <w:sz w:val="22"/>
        </w:rPr>
      </w:pPr>
    </w:p>
    <w:p w:rsidR="0040604D" w:rsidRDefault="00FA34D7">
      <w:pPr>
        <w:widowControl/>
        <w:autoSpaceDE/>
        <w:autoSpaceDN/>
        <w:adjustRightInd/>
        <w:rPr>
          <w:sz w:val="22"/>
          <w:szCs w:val="22"/>
        </w:rPr>
      </w:pPr>
      <w:r>
        <w:rPr>
          <w:sz w:val="22"/>
          <w:szCs w:val="22"/>
        </w:rPr>
        <w:t xml:space="preserve">Meeting was adjourned by Jessie Shaffer. </w:t>
      </w:r>
    </w:p>
    <w:p w:rsidR="0040604D" w:rsidRDefault="0040604D">
      <w:pPr>
        <w:widowControl/>
        <w:autoSpaceDE/>
        <w:autoSpaceDN/>
        <w:adjustRightInd/>
        <w:rPr>
          <w:sz w:val="22"/>
          <w:szCs w:val="20"/>
        </w:rPr>
      </w:pPr>
      <w:r>
        <w:rPr>
          <w:sz w:val="22"/>
          <w:szCs w:val="22"/>
        </w:rPr>
        <w:t xml:space="preserv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774EC8" w:rsidRPr="003D63A4" w:rsidRDefault="00774EC8" w:rsidP="00774EC8">
      <w:pPr>
        <w:kinsoku w:val="0"/>
        <w:overflowPunct w:val="0"/>
        <w:spacing w:before="81"/>
        <w:ind w:right="159"/>
        <w:rPr>
          <w:rFonts w:ascii="Arial" w:hAnsi="Arial" w:cs="Arial"/>
        </w:rPr>
      </w:pPr>
      <w:r>
        <w:rPr>
          <w:rFonts w:ascii="Arial" w:hAnsi="Arial" w:cs="Arial"/>
        </w:rPr>
        <w:t>January</w:t>
      </w:r>
      <w:r w:rsidRPr="003D63A4">
        <w:rPr>
          <w:rFonts w:ascii="Arial" w:hAnsi="Arial" w:cs="Arial"/>
        </w:rPr>
        <w:t xml:space="preserve"> Bills</w:t>
      </w:r>
    </w:p>
    <w:p w:rsidR="00774EC8" w:rsidRDefault="00774EC8" w:rsidP="00774EC8">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699"/>
        <w:gridCol w:w="2566"/>
        <w:gridCol w:w="2702"/>
        <w:gridCol w:w="2543"/>
      </w:tblGrid>
      <w:tr w:rsidR="00774EC8" w:rsidTr="001E42D2">
        <w:tc>
          <w:tcPr>
            <w:tcW w:w="279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2031.13</w:t>
            </w:r>
          </w:p>
        </w:tc>
      </w:tr>
      <w:tr w:rsidR="00774EC8" w:rsidTr="001E42D2">
        <w:tc>
          <w:tcPr>
            <w:tcW w:w="2795" w:type="dxa"/>
          </w:tcPr>
          <w:p w:rsidR="00774EC8" w:rsidRPr="003D63A4" w:rsidRDefault="00774EC8" w:rsidP="001E42D2">
            <w:pPr>
              <w:kinsoku w:val="0"/>
              <w:overflowPunct w:val="0"/>
              <w:spacing w:before="81"/>
              <w:ind w:right="159"/>
              <w:jc w:val="center"/>
              <w:rPr>
                <w:rFonts w:ascii="Arial" w:hAnsi="Arial" w:cs="Arial"/>
                <w:color w:val="000000"/>
                <w:sz w:val="20"/>
                <w:szCs w:val="20"/>
              </w:rPr>
            </w:pP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Pr="003D63A4" w:rsidRDefault="00774EC8" w:rsidP="001E42D2">
            <w:pPr>
              <w:tabs>
                <w:tab w:val="left" w:pos="810"/>
                <w:tab w:val="center" w:pos="1130"/>
              </w:tabs>
              <w:kinsoku w:val="0"/>
              <w:overflowPunct w:val="0"/>
              <w:spacing w:before="81"/>
              <w:ind w:right="159"/>
              <w:rPr>
                <w:rFonts w:ascii="Arial" w:hAnsi="Arial" w:cs="Arial"/>
                <w:color w:val="000000"/>
                <w:sz w:val="20"/>
                <w:szCs w:val="20"/>
              </w:rPr>
            </w:pPr>
            <w:r>
              <w:rPr>
                <w:rFonts w:ascii="Arial" w:hAnsi="Arial" w:cs="Arial"/>
                <w:color w:val="000000"/>
                <w:sz w:val="20"/>
                <w:szCs w:val="20"/>
              </w:rPr>
              <w:tab/>
              <w:t>132.30</w:t>
            </w:r>
          </w:p>
        </w:tc>
      </w:tr>
      <w:tr w:rsidR="00774EC8" w:rsidTr="001E42D2">
        <w:tc>
          <w:tcPr>
            <w:tcW w:w="279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60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January Rent</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774EC8" w:rsidTr="001E42D2">
        <w:tc>
          <w:tcPr>
            <w:tcW w:w="279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Jared J Dufault</w:t>
            </w:r>
          </w:p>
        </w:tc>
        <w:tc>
          <w:tcPr>
            <w:tcW w:w="2605" w:type="dxa"/>
          </w:tcPr>
          <w:p w:rsidR="00774EC8" w:rsidRPr="003D63A4"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Pr="00E1086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MCIT</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Property &amp; Casualty</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2502.00</w:t>
            </w: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Workers Comp</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386.00</w:t>
            </w: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2888.00</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Peterson Company LTD</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2014 Audit</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2354.44</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47.27</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DMV</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Plate Renewal</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16.00</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Tri-M</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2016 Calendar Postage</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787.73</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Supervisor Comp &amp; Exp.</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w:t>
            </w:r>
            <w:r w:rsidRPr="00486DF0">
              <w:rPr>
                <w:rFonts w:ascii="Arial" w:hAnsi="Arial" w:cs="Arial"/>
                <w:color w:val="000000"/>
                <w:sz w:val="20"/>
                <w:szCs w:val="20"/>
                <w:vertAlign w:val="superscript"/>
              </w:rPr>
              <w:t>th</w:t>
            </w:r>
            <w:r>
              <w:rPr>
                <w:rFonts w:ascii="Arial" w:hAnsi="Arial" w:cs="Arial"/>
                <w:color w:val="000000"/>
                <w:sz w:val="20"/>
                <w:szCs w:val="20"/>
              </w:rPr>
              <w:t xml:space="preserve"> Quarter</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1630.14</w:t>
            </w:r>
          </w:p>
        </w:tc>
      </w:tr>
      <w:tr w:rsidR="00774EC8" w:rsidTr="001E42D2">
        <w:tc>
          <w:tcPr>
            <w:tcW w:w="27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Le Sueur Co. SWCD</w:t>
            </w:r>
          </w:p>
        </w:tc>
        <w:tc>
          <w:tcPr>
            <w:tcW w:w="260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Tech Assist. On LCCMR</w:t>
            </w:r>
          </w:p>
        </w:tc>
        <w:tc>
          <w:tcPr>
            <w:tcW w:w="2815" w:type="dxa"/>
          </w:tcPr>
          <w:p w:rsidR="00774EC8" w:rsidRPr="00B004E2" w:rsidRDefault="00774EC8" w:rsidP="001E42D2">
            <w:pPr>
              <w:kinsoku w:val="0"/>
              <w:overflowPunct w:val="0"/>
              <w:spacing w:before="81"/>
              <w:ind w:right="159"/>
              <w:jc w:val="center"/>
              <w:rPr>
                <w:rFonts w:ascii="Arial" w:hAnsi="Arial" w:cs="Arial"/>
                <w:color w:val="000000"/>
                <w:sz w:val="20"/>
                <w:szCs w:val="20"/>
              </w:rPr>
            </w:pPr>
          </w:p>
        </w:tc>
        <w:tc>
          <w:tcPr>
            <w:tcW w:w="2595" w:type="dxa"/>
          </w:tcPr>
          <w:p w:rsidR="00774EC8" w:rsidRDefault="00774EC8" w:rsidP="001E42D2">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1160.50</w:t>
            </w:r>
          </w:p>
        </w:tc>
      </w:tr>
      <w:tr w:rsidR="00774EC8" w:rsidTr="001E42D2">
        <w:tc>
          <w:tcPr>
            <w:tcW w:w="2795" w:type="dxa"/>
          </w:tcPr>
          <w:p w:rsidR="00774EC8" w:rsidRPr="003D63A4" w:rsidRDefault="00774EC8" w:rsidP="001E42D2">
            <w:pPr>
              <w:kinsoku w:val="0"/>
              <w:overflowPunct w:val="0"/>
              <w:spacing w:before="81"/>
              <w:ind w:right="159"/>
              <w:jc w:val="center"/>
              <w:rPr>
                <w:rFonts w:ascii="Arial" w:hAnsi="Arial" w:cs="Arial"/>
                <w:color w:val="000000"/>
                <w:sz w:val="20"/>
                <w:szCs w:val="20"/>
              </w:rPr>
            </w:pPr>
          </w:p>
        </w:tc>
        <w:tc>
          <w:tcPr>
            <w:tcW w:w="2605" w:type="dxa"/>
          </w:tcPr>
          <w:p w:rsidR="00774EC8" w:rsidRPr="003D63A4" w:rsidRDefault="00774EC8" w:rsidP="001E42D2">
            <w:pPr>
              <w:kinsoku w:val="0"/>
              <w:overflowPunct w:val="0"/>
              <w:spacing w:before="81"/>
              <w:ind w:right="159"/>
              <w:jc w:val="center"/>
              <w:rPr>
                <w:rFonts w:ascii="Arial" w:hAnsi="Arial" w:cs="Arial"/>
                <w:color w:val="000000"/>
                <w:sz w:val="20"/>
                <w:szCs w:val="20"/>
              </w:rPr>
            </w:pPr>
          </w:p>
        </w:tc>
        <w:tc>
          <w:tcPr>
            <w:tcW w:w="2815" w:type="dxa"/>
          </w:tcPr>
          <w:p w:rsidR="00774EC8" w:rsidRPr="003D63A4" w:rsidRDefault="00774EC8" w:rsidP="001E42D2">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774EC8" w:rsidRPr="003D63A4" w:rsidRDefault="00774EC8" w:rsidP="001E42D2">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8884.08</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2B" w:rsidRDefault="000A0F2B" w:rsidP="00C659BE">
      <w:r>
        <w:separator/>
      </w:r>
    </w:p>
  </w:endnote>
  <w:endnote w:type="continuationSeparator" w:id="0">
    <w:p w:rsidR="000A0F2B" w:rsidRDefault="000A0F2B"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2B" w:rsidRDefault="000A0F2B" w:rsidP="00C659BE">
      <w:r>
        <w:separator/>
      </w:r>
    </w:p>
  </w:footnote>
  <w:footnote w:type="continuationSeparator" w:id="0">
    <w:p w:rsidR="000A0F2B" w:rsidRDefault="000A0F2B"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299C"/>
    <w:rsid w:val="0002429B"/>
    <w:rsid w:val="00027FE4"/>
    <w:rsid w:val="00035E57"/>
    <w:rsid w:val="000444DE"/>
    <w:rsid w:val="0005401B"/>
    <w:rsid w:val="0005460C"/>
    <w:rsid w:val="00081E9F"/>
    <w:rsid w:val="00083D68"/>
    <w:rsid w:val="00090159"/>
    <w:rsid w:val="00093D6C"/>
    <w:rsid w:val="000A0F2B"/>
    <w:rsid w:val="000A71F6"/>
    <w:rsid w:val="000B05CF"/>
    <w:rsid w:val="000B2CB8"/>
    <w:rsid w:val="000C33F1"/>
    <w:rsid w:val="000D364F"/>
    <w:rsid w:val="000D6B23"/>
    <w:rsid w:val="00115D22"/>
    <w:rsid w:val="00126B51"/>
    <w:rsid w:val="00126E42"/>
    <w:rsid w:val="00132321"/>
    <w:rsid w:val="001346E1"/>
    <w:rsid w:val="00137574"/>
    <w:rsid w:val="00153CF3"/>
    <w:rsid w:val="001574F7"/>
    <w:rsid w:val="00162584"/>
    <w:rsid w:val="00166849"/>
    <w:rsid w:val="0018306F"/>
    <w:rsid w:val="00183176"/>
    <w:rsid w:val="001840F5"/>
    <w:rsid w:val="00186853"/>
    <w:rsid w:val="0019344C"/>
    <w:rsid w:val="00194B43"/>
    <w:rsid w:val="00196690"/>
    <w:rsid w:val="001B0FD9"/>
    <w:rsid w:val="001C58BC"/>
    <w:rsid w:val="001D0FF2"/>
    <w:rsid w:val="001D38F7"/>
    <w:rsid w:val="001F0405"/>
    <w:rsid w:val="001F2946"/>
    <w:rsid w:val="00202D7C"/>
    <w:rsid w:val="00210DF3"/>
    <w:rsid w:val="002143FA"/>
    <w:rsid w:val="00221D61"/>
    <w:rsid w:val="00231852"/>
    <w:rsid w:val="002477DB"/>
    <w:rsid w:val="002570A0"/>
    <w:rsid w:val="00260AEB"/>
    <w:rsid w:val="00264D28"/>
    <w:rsid w:val="00267BEA"/>
    <w:rsid w:val="00270F5B"/>
    <w:rsid w:val="00275B32"/>
    <w:rsid w:val="00280C6F"/>
    <w:rsid w:val="00281571"/>
    <w:rsid w:val="002972A8"/>
    <w:rsid w:val="002A1F91"/>
    <w:rsid w:val="002A409D"/>
    <w:rsid w:val="002B2DF0"/>
    <w:rsid w:val="002D004F"/>
    <w:rsid w:val="002E38F4"/>
    <w:rsid w:val="002F0C15"/>
    <w:rsid w:val="00313B2D"/>
    <w:rsid w:val="0031583B"/>
    <w:rsid w:val="00331CB6"/>
    <w:rsid w:val="00335AA3"/>
    <w:rsid w:val="00351BFD"/>
    <w:rsid w:val="00352487"/>
    <w:rsid w:val="003525E0"/>
    <w:rsid w:val="0037460E"/>
    <w:rsid w:val="00382410"/>
    <w:rsid w:val="003965EF"/>
    <w:rsid w:val="003C7DF5"/>
    <w:rsid w:val="003D7FA7"/>
    <w:rsid w:val="003E4B62"/>
    <w:rsid w:val="003F0902"/>
    <w:rsid w:val="004000AF"/>
    <w:rsid w:val="00405824"/>
    <w:rsid w:val="0040604D"/>
    <w:rsid w:val="00406E39"/>
    <w:rsid w:val="004150F9"/>
    <w:rsid w:val="00420C55"/>
    <w:rsid w:val="00441565"/>
    <w:rsid w:val="0044338C"/>
    <w:rsid w:val="00454CE5"/>
    <w:rsid w:val="00461714"/>
    <w:rsid w:val="004711F9"/>
    <w:rsid w:val="004A0FAF"/>
    <w:rsid w:val="004B4C30"/>
    <w:rsid w:val="004E4B14"/>
    <w:rsid w:val="004F2E31"/>
    <w:rsid w:val="0050541E"/>
    <w:rsid w:val="00547A2A"/>
    <w:rsid w:val="0056726B"/>
    <w:rsid w:val="00574BA3"/>
    <w:rsid w:val="005874BB"/>
    <w:rsid w:val="00592E06"/>
    <w:rsid w:val="005D38CE"/>
    <w:rsid w:val="00603418"/>
    <w:rsid w:val="006333AC"/>
    <w:rsid w:val="00645B55"/>
    <w:rsid w:val="00667455"/>
    <w:rsid w:val="00670D25"/>
    <w:rsid w:val="0067578B"/>
    <w:rsid w:val="0068575F"/>
    <w:rsid w:val="006C6097"/>
    <w:rsid w:val="006D1091"/>
    <w:rsid w:val="006E63A5"/>
    <w:rsid w:val="006F3277"/>
    <w:rsid w:val="00717A9E"/>
    <w:rsid w:val="00720621"/>
    <w:rsid w:val="0072684D"/>
    <w:rsid w:val="00727192"/>
    <w:rsid w:val="00735D1F"/>
    <w:rsid w:val="00740131"/>
    <w:rsid w:val="0074565B"/>
    <w:rsid w:val="0076741E"/>
    <w:rsid w:val="00774EC8"/>
    <w:rsid w:val="007769B9"/>
    <w:rsid w:val="007E109E"/>
    <w:rsid w:val="007E5943"/>
    <w:rsid w:val="007F5D56"/>
    <w:rsid w:val="00805E00"/>
    <w:rsid w:val="008121C2"/>
    <w:rsid w:val="008467FB"/>
    <w:rsid w:val="00847849"/>
    <w:rsid w:val="00850B38"/>
    <w:rsid w:val="008636E9"/>
    <w:rsid w:val="00864225"/>
    <w:rsid w:val="00871CAF"/>
    <w:rsid w:val="008812D3"/>
    <w:rsid w:val="0088744E"/>
    <w:rsid w:val="0089449C"/>
    <w:rsid w:val="00895223"/>
    <w:rsid w:val="008B22E7"/>
    <w:rsid w:val="008C1550"/>
    <w:rsid w:val="008C1800"/>
    <w:rsid w:val="00910F2E"/>
    <w:rsid w:val="0091207C"/>
    <w:rsid w:val="00913AE9"/>
    <w:rsid w:val="00925471"/>
    <w:rsid w:val="00925845"/>
    <w:rsid w:val="009430CC"/>
    <w:rsid w:val="00980844"/>
    <w:rsid w:val="00983259"/>
    <w:rsid w:val="00983C88"/>
    <w:rsid w:val="00984C4B"/>
    <w:rsid w:val="009A3FA9"/>
    <w:rsid w:val="009D607B"/>
    <w:rsid w:val="009E141F"/>
    <w:rsid w:val="009F1C29"/>
    <w:rsid w:val="009F6827"/>
    <w:rsid w:val="009F7B63"/>
    <w:rsid w:val="00A14355"/>
    <w:rsid w:val="00A34566"/>
    <w:rsid w:val="00A441CB"/>
    <w:rsid w:val="00A572E8"/>
    <w:rsid w:val="00A57E8B"/>
    <w:rsid w:val="00A57FA5"/>
    <w:rsid w:val="00A71A12"/>
    <w:rsid w:val="00A72083"/>
    <w:rsid w:val="00AC2635"/>
    <w:rsid w:val="00AD3AD6"/>
    <w:rsid w:val="00AE2973"/>
    <w:rsid w:val="00AE6DEA"/>
    <w:rsid w:val="00AF74F4"/>
    <w:rsid w:val="00B00665"/>
    <w:rsid w:val="00B3395F"/>
    <w:rsid w:val="00B41BD5"/>
    <w:rsid w:val="00B60B67"/>
    <w:rsid w:val="00B6448D"/>
    <w:rsid w:val="00B64E53"/>
    <w:rsid w:val="00B659DA"/>
    <w:rsid w:val="00B6665A"/>
    <w:rsid w:val="00B67EA3"/>
    <w:rsid w:val="00B85E97"/>
    <w:rsid w:val="00BA359D"/>
    <w:rsid w:val="00BB6B23"/>
    <w:rsid w:val="00BC7BCC"/>
    <w:rsid w:val="00BD139E"/>
    <w:rsid w:val="00BE2BFD"/>
    <w:rsid w:val="00BE4373"/>
    <w:rsid w:val="00BE527B"/>
    <w:rsid w:val="00BF1919"/>
    <w:rsid w:val="00BF7DA8"/>
    <w:rsid w:val="00C02C1B"/>
    <w:rsid w:val="00C05B2B"/>
    <w:rsid w:val="00C177C3"/>
    <w:rsid w:val="00C228CD"/>
    <w:rsid w:val="00C22D65"/>
    <w:rsid w:val="00C36E99"/>
    <w:rsid w:val="00C4195D"/>
    <w:rsid w:val="00C53171"/>
    <w:rsid w:val="00C56002"/>
    <w:rsid w:val="00C56928"/>
    <w:rsid w:val="00C60C3A"/>
    <w:rsid w:val="00C659BE"/>
    <w:rsid w:val="00C70FF5"/>
    <w:rsid w:val="00C73F18"/>
    <w:rsid w:val="00C922DC"/>
    <w:rsid w:val="00CA0771"/>
    <w:rsid w:val="00CB3C9C"/>
    <w:rsid w:val="00CC235E"/>
    <w:rsid w:val="00CD13FE"/>
    <w:rsid w:val="00CD6152"/>
    <w:rsid w:val="00CF48E0"/>
    <w:rsid w:val="00D01E0B"/>
    <w:rsid w:val="00D1117C"/>
    <w:rsid w:val="00D24636"/>
    <w:rsid w:val="00D27B1C"/>
    <w:rsid w:val="00D305CE"/>
    <w:rsid w:val="00D33394"/>
    <w:rsid w:val="00D47CEE"/>
    <w:rsid w:val="00D635E0"/>
    <w:rsid w:val="00D73473"/>
    <w:rsid w:val="00D84C70"/>
    <w:rsid w:val="00D94313"/>
    <w:rsid w:val="00D95B59"/>
    <w:rsid w:val="00D95ECA"/>
    <w:rsid w:val="00DA73D6"/>
    <w:rsid w:val="00DB02FC"/>
    <w:rsid w:val="00DB34B1"/>
    <w:rsid w:val="00DC0C79"/>
    <w:rsid w:val="00DC0D42"/>
    <w:rsid w:val="00DE3A3A"/>
    <w:rsid w:val="00DF1411"/>
    <w:rsid w:val="00E10529"/>
    <w:rsid w:val="00E150FF"/>
    <w:rsid w:val="00E24BCB"/>
    <w:rsid w:val="00E27B62"/>
    <w:rsid w:val="00E54EC9"/>
    <w:rsid w:val="00E7796B"/>
    <w:rsid w:val="00E800DE"/>
    <w:rsid w:val="00EA7B52"/>
    <w:rsid w:val="00EC25C0"/>
    <w:rsid w:val="00EC2AFB"/>
    <w:rsid w:val="00EC6FFB"/>
    <w:rsid w:val="00ED4E59"/>
    <w:rsid w:val="00ED73D6"/>
    <w:rsid w:val="00EE3FE0"/>
    <w:rsid w:val="00EF26F3"/>
    <w:rsid w:val="00F1037E"/>
    <w:rsid w:val="00F272ED"/>
    <w:rsid w:val="00F33256"/>
    <w:rsid w:val="00F6774D"/>
    <w:rsid w:val="00F8213F"/>
    <w:rsid w:val="00F910C9"/>
    <w:rsid w:val="00F95017"/>
    <w:rsid w:val="00FA34D7"/>
    <w:rsid w:val="00FB657D"/>
    <w:rsid w:val="00FC105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8BDF2-4AC4-4505-9769-26F69369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2016-10-18T14:29:00Z</dcterms:created>
  <dcterms:modified xsi:type="dcterms:W3CDTF">2016-10-18T14:29:00Z</dcterms:modified>
</cp:coreProperties>
</file>